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after="200" w:line="276" w:lineRule="auto"/>
        <w:jc w:val="center"/>
        <w:rPr>
          <w:rFonts w:ascii="Calibri" w:cs="Calibri" w:eastAsia="Calibri" w:hAnsi="Calibri"/>
          <w:b w:val="1"/>
          <w:smallCaps w:val="1"/>
        </w:rPr>
      </w:pPr>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3</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REQUIREMENTS</w:t>
      </w:r>
    </w:p>
    <w:p w:rsidR="00000000" w:rsidDel="00000000" w:rsidP="00000000" w:rsidRDefault="00000000" w:rsidRPr="00000000" w14:paraId="0000001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 TO MAINTAIN INSURANCES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any other insurances as may be required by applicable Law (together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1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Insurances shall be: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in accordance with Good Industry Practice;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for at least six (6) years after the End Date.</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1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 OBLIGATIONS</w:t>
      </w:r>
    </w:p>
    <w:p w:rsidR="00000000" w:rsidDel="00000000" w:rsidP="00000000" w:rsidRDefault="00000000" w:rsidRPr="00000000" w14:paraId="0000001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hold all policies in respect of the Insurances and cause any insurance broker </w:t>
      </w:r>
      <w:r w:rsidDel="00000000" w:rsidR="00000000" w:rsidRPr="00000000">
        <w:rPr>
          <w:rtl w:val="0"/>
        </w:rPr>
        <w:t xml:space="preserve">affecting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2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FAILURE TO INSURE</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2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EVIDENCE OF POLICIES</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2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AGGREGATE LIMIT OF INDEMNITY </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2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CANCELLATION</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2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CLAIMS </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tl w:val="0"/>
        </w:rPr>
        <w:t xml:space="preserve">cooperate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76"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REQUIRED INSURANCES</w:t>
      </w:r>
    </w:p>
    <w:bookmarkStart w:colFirst="0" w:colLast="0" w:name="bookmark=id.1fob9te" w:id="2"/>
    <w:bookmarkEnd w:id="2"/>
    <w:p w:rsidR="00000000" w:rsidDel="00000000" w:rsidP="00000000" w:rsidRDefault="00000000" w:rsidRPr="00000000" w14:paraId="0000003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insurances should be held in </w:t>
      </w:r>
      <w:r w:rsidDel="00000000" w:rsidR="00000000" w:rsidRPr="00000000">
        <w:rPr>
          <w:rtl w:val="0"/>
        </w:rPr>
        <w:t xml:space="preserve">relation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to the specific lots. Where a supplier provides Deliverables in more than one lot the Supplier must ensure that it provides the highest level of Required Insurances.</w:t>
      </w:r>
      <w:r w:rsidDel="00000000" w:rsidR="00000000" w:rsidRPr="00000000">
        <w:rPr>
          <w:rtl w:val="0"/>
        </w:rPr>
      </w:r>
    </w:p>
    <w:tbl>
      <w:tblPr>
        <w:tblStyle w:val="Table1"/>
        <w:tblW w:w="8101.0" w:type="dxa"/>
        <w:jc w:val="left"/>
        <w:tblInd w:w="5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7"/>
        <w:gridCol w:w="7044"/>
        <w:tblGridChange w:id="0">
          <w:tblGrid>
            <w:gridCol w:w="1057"/>
            <w:gridCol w:w="7044"/>
          </w:tblGrid>
        </w:tblGridChange>
      </w:tblGrid>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Lots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Insurance requirements</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1B</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Professional Indemnity insurance with cover (for a single event or a series of related events and in the aggregate) of not less than ten million pounds (£10,000,000);</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Employers’ liability insurance with cover (for a single event or a series of related events and in the aggregate) of not less than five million pounds (£5,000,000). It is a legal requirement that all companies hold Employer’s (Compulsory) Liability Insurance. Please note this requirement is not applicable to Sole Traders.</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43">
    <w:pPr>
      <w:spacing w:after="0" w:lineRule="auto"/>
      <w:rPr/>
    </w:pPr>
    <w:r w:rsidDel="00000000" w:rsidR="00000000" w:rsidRPr="00000000">
      <w:rPr>
        <w:rtl w:val="0"/>
      </w:rPr>
      <w:t xml:space="preserve">Model Version v3.0 Project Version v1.0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5619750</wp:posOffset>
          </wp:positionH>
          <wp:positionV relativeFrom="paragraph">
            <wp:posOffset>-50375</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3 (Insurance Requirements)</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4RyR2JLEqcUr6BbXRQ/eHrtAqg==">CgMxLjAyCGguZ2pkZ3hzMgloLjMwajB6bGwyCmlkLjFmb2I5dGU4AHIhMXpiQW9TREE0VW5tanlEbkZwaDVWNDFrYk9NWW1WMFlz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